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7928" w14:textId="77777777" w:rsidR="00D7274E" w:rsidRPr="002374B1" w:rsidRDefault="00036ACF" w:rsidP="00036ACF">
      <w:pPr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OLE_LINK1"/>
      <w:r>
        <w:rPr>
          <w:rFonts w:ascii="方正小标宋简体" w:eastAsia="方正小标宋简体" w:hint="eastAsia"/>
          <w:color w:val="000000"/>
          <w:sz w:val="44"/>
          <w:szCs w:val="44"/>
        </w:rPr>
        <w:t>医用耗材</w:t>
      </w:r>
      <w:r w:rsidR="00A13DAF">
        <w:rPr>
          <w:rFonts w:ascii="方正小标宋简体" w:eastAsia="方正小标宋简体" w:hint="eastAsia"/>
          <w:color w:val="000000"/>
          <w:sz w:val="44"/>
          <w:szCs w:val="44"/>
        </w:rPr>
        <w:t>遴选</w:t>
      </w:r>
      <w:r w:rsidR="007A2BCE" w:rsidRPr="002374B1">
        <w:rPr>
          <w:rFonts w:ascii="方正小标宋简体" w:eastAsia="方正小标宋简体" w:hint="eastAsia"/>
          <w:color w:val="000000"/>
          <w:sz w:val="44"/>
          <w:szCs w:val="44"/>
        </w:rPr>
        <w:t>采购评审细则</w:t>
      </w:r>
      <w:bookmarkEnd w:id="0"/>
    </w:p>
    <w:p w14:paraId="6F9B64ED" w14:textId="77777777" w:rsidR="00CE17A2" w:rsidRPr="00AC427B" w:rsidRDefault="00CE17A2" w:rsidP="00224D82">
      <w:pPr>
        <w:jc w:val="center"/>
        <w:rPr>
          <w:b/>
          <w:color w:val="000000"/>
          <w:sz w:val="24"/>
          <w:szCs w:val="24"/>
        </w:rPr>
      </w:pPr>
    </w:p>
    <w:p w14:paraId="377BCC9D" w14:textId="77777777" w:rsidR="001C7B5B" w:rsidRPr="002078A5" w:rsidRDefault="001C7B5B" w:rsidP="00B55FE5">
      <w:pPr>
        <w:ind w:firstLine="596"/>
        <w:jc w:val="left"/>
        <w:rPr>
          <w:rFonts w:ascii="仿宋_GB2312" w:eastAsia="仿宋_GB2312"/>
          <w:color w:val="000000"/>
          <w:sz w:val="30"/>
          <w:szCs w:val="30"/>
        </w:rPr>
      </w:pPr>
      <w:r w:rsidRPr="002078A5">
        <w:rPr>
          <w:rFonts w:ascii="仿宋_GB2312" w:eastAsia="仿宋_GB2312" w:hint="eastAsia"/>
          <w:color w:val="000000"/>
          <w:sz w:val="30"/>
          <w:szCs w:val="30"/>
        </w:rPr>
        <w:t>一、拟</w:t>
      </w:r>
      <w:r w:rsidR="003B44A7" w:rsidRPr="002078A5">
        <w:rPr>
          <w:rFonts w:ascii="仿宋_GB2312" w:eastAsia="仿宋_GB2312" w:hint="eastAsia"/>
          <w:color w:val="000000"/>
          <w:sz w:val="30"/>
          <w:szCs w:val="30"/>
        </w:rPr>
        <w:t>中标</w:t>
      </w:r>
      <w:r w:rsidRPr="002078A5">
        <w:rPr>
          <w:rFonts w:ascii="仿宋_GB2312" w:eastAsia="仿宋_GB2312" w:hint="eastAsia"/>
          <w:color w:val="000000"/>
          <w:sz w:val="30"/>
          <w:szCs w:val="30"/>
        </w:rPr>
        <w:t>供应商数量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134"/>
        <w:gridCol w:w="2835"/>
        <w:gridCol w:w="2977"/>
      </w:tblGrid>
      <w:tr w:rsidR="007039A5" w:rsidRPr="00925021" w14:paraId="21DFF334" w14:textId="77777777" w:rsidTr="007039A5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67E5" w14:textId="77777777" w:rsidR="007039A5" w:rsidRPr="002078A5" w:rsidRDefault="007039A5" w:rsidP="001C7B5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078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评审单元内有效供应商数量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9343" w14:textId="77777777" w:rsidR="007039A5" w:rsidRPr="002078A5" w:rsidRDefault="007039A5" w:rsidP="001C7B5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078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拟中标供应商数量</w:t>
            </w:r>
            <w:r w:rsidR="00B71CA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，备选供应商数量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275C" w14:textId="77777777" w:rsidR="007039A5" w:rsidRPr="002078A5" w:rsidRDefault="007039A5" w:rsidP="001C7B5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2078A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039A5" w:rsidRPr="00925021" w14:paraId="49A76950" w14:textId="77777777" w:rsidTr="007039A5">
        <w:trPr>
          <w:trHeight w:val="84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D241" w14:textId="77777777" w:rsidR="007039A5" w:rsidRPr="002078A5" w:rsidRDefault="007039A5" w:rsidP="001C7B5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078A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3家</w:t>
            </w:r>
            <w:r w:rsidR="00B16E2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及3家以上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E294" w14:textId="77777777" w:rsidR="007039A5" w:rsidRPr="002078A5" w:rsidRDefault="001337FC" w:rsidP="001C7B5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1337F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有效投标人数量为3</w:t>
            </w:r>
            <w:r w:rsidR="00E771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家或3家以上的</w:t>
            </w:r>
            <w:r w:rsidRPr="001337F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，确定1名中标候选人</w:t>
            </w:r>
            <w:r w:rsidR="00E771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。</w:t>
            </w:r>
            <w:r w:rsidR="00E77175" w:rsidRPr="002078A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0EDF" w14:textId="77777777" w:rsidR="007039A5" w:rsidRPr="002078A5" w:rsidRDefault="007039A5" w:rsidP="00BD499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078A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按综合评分得分排序由高至低推荐拟中标供应商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，</w:t>
            </w:r>
            <w:r w:rsidRPr="002078A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中标供应商因产品或服务无法满足需求，经采购人核实后，</w:t>
            </w:r>
            <w:r w:rsidR="001337F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按顺序</w:t>
            </w:r>
            <w:r w:rsidRPr="002078A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进行替补。</w:t>
            </w:r>
          </w:p>
        </w:tc>
      </w:tr>
    </w:tbl>
    <w:p w14:paraId="367FF5E8" w14:textId="77777777" w:rsidR="00B55FE5" w:rsidRDefault="00402562" w:rsidP="00B55FE5">
      <w:pPr>
        <w:ind w:firstLine="596"/>
        <w:jc w:val="left"/>
        <w:rPr>
          <w:rFonts w:ascii="仿宋_GB2312" w:eastAsia="仿宋_GB2312"/>
          <w:color w:val="000000"/>
          <w:sz w:val="32"/>
          <w:szCs w:val="32"/>
        </w:rPr>
      </w:pPr>
      <w:r w:rsidRPr="0028400B">
        <w:rPr>
          <w:rFonts w:ascii="仿宋_GB2312" w:eastAsia="仿宋_GB2312" w:hint="eastAsia"/>
          <w:color w:val="000000"/>
          <w:sz w:val="32"/>
          <w:szCs w:val="32"/>
        </w:rPr>
        <w:t>二</w:t>
      </w:r>
      <w:r w:rsidR="00E47119" w:rsidRPr="0028400B">
        <w:rPr>
          <w:rFonts w:ascii="仿宋_GB2312" w:eastAsia="仿宋_GB2312" w:hint="eastAsia"/>
          <w:color w:val="000000"/>
          <w:sz w:val="32"/>
          <w:szCs w:val="32"/>
        </w:rPr>
        <w:t>、评标方法：</w:t>
      </w:r>
      <w:r w:rsidR="00B55FE5" w:rsidRPr="0028400B">
        <w:rPr>
          <w:rFonts w:ascii="仿宋_GB2312" w:eastAsia="仿宋_GB2312" w:hint="eastAsia"/>
          <w:color w:val="000000"/>
          <w:sz w:val="32"/>
          <w:szCs w:val="32"/>
        </w:rPr>
        <w:t>通过供应</w:t>
      </w:r>
      <w:proofErr w:type="gramStart"/>
      <w:r w:rsidR="00B55FE5" w:rsidRPr="0028400B">
        <w:rPr>
          <w:rFonts w:ascii="仿宋_GB2312" w:eastAsia="仿宋_GB2312" w:hint="eastAsia"/>
          <w:color w:val="000000"/>
          <w:sz w:val="32"/>
          <w:szCs w:val="32"/>
        </w:rPr>
        <w:t>商价格</w:t>
      </w:r>
      <w:proofErr w:type="gramEnd"/>
      <w:r w:rsidR="00B55FE5" w:rsidRPr="0028400B">
        <w:rPr>
          <w:rFonts w:ascii="仿宋_GB2312" w:eastAsia="仿宋_GB2312" w:hint="eastAsia"/>
          <w:color w:val="000000"/>
          <w:sz w:val="32"/>
          <w:szCs w:val="32"/>
        </w:rPr>
        <w:t>分</w:t>
      </w:r>
      <w:r w:rsidR="00C06A22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C06A22">
        <w:rPr>
          <w:rFonts w:ascii="仿宋_GB2312" w:eastAsia="仿宋_GB2312"/>
          <w:color w:val="000000"/>
          <w:sz w:val="32"/>
          <w:szCs w:val="32"/>
        </w:rPr>
        <w:t>技术分、商务分</w:t>
      </w:r>
      <w:r w:rsidR="00B55FE5" w:rsidRPr="0028400B">
        <w:rPr>
          <w:rFonts w:ascii="仿宋_GB2312" w:eastAsia="仿宋_GB2312" w:hint="eastAsia"/>
          <w:color w:val="000000"/>
          <w:sz w:val="32"/>
          <w:szCs w:val="32"/>
        </w:rPr>
        <w:t>相加的评标方式确定</w:t>
      </w:r>
      <w:r w:rsidR="003B44A7" w:rsidRPr="0028400B">
        <w:rPr>
          <w:rFonts w:ascii="仿宋_GB2312" w:eastAsia="仿宋_GB2312" w:hint="eastAsia"/>
          <w:color w:val="000000"/>
          <w:sz w:val="32"/>
          <w:szCs w:val="32"/>
        </w:rPr>
        <w:t>拟</w:t>
      </w:r>
      <w:r w:rsidR="00B55FE5" w:rsidRPr="0028400B">
        <w:rPr>
          <w:rFonts w:ascii="仿宋_GB2312" w:eastAsia="仿宋_GB2312" w:hint="eastAsia"/>
          <w:color w:val="000000"/>
          <w:sz w:val="32"/>
          <w:szCs w:val="32"/>
        </w:rPr>
        <w:t>中标</w:t>
      </w:r>
      <w:r w:rsidR="003B44A7" w:rsidRPr="0028400B">
        <w:rPr>
          <w:rFonts w:ascii="仿宋_GB2312" w:eastAsia="仿宋_GB2312" w:hint="eastAsia"/>
          <w:color w:val="000000"/>
          <w:sz w:val="32"/>
          <w:szCs w:val="32"/>
        </w:rPr>
        <w:t>供应商</w:t>
      </w:r>
      <w:r w:rsidR="00B55FE5" w:rsidRPr="0028400B">
        <w:rPr>
          <w:rFonts w:ascii="仿宋_GB2312" w:eastAsia="仿宋_GB2312" w:hint="eastAsia"/>
          <w:color w:val="000000"/>
          <w:sz w:val="32"/>
          <w:szCs w:val="32"/>
        </w:rPr>
        <w:t>，具体方法如下：</w:t>
      </w:r>
    </w:p>
    <w:p w14:paraId="6609A8EF" w14:textId="77777777" w:rsidR="002374B1" w:rsidRPr="002374B1" w:rsidRDefault="002374B1" w:rsidP="002374B1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2374B1">
        <w:rPr>
          <w:rFonts w:ascii="宋体" w:hAnsi="宋体" w:cs="宋体" w:hint="eastAsia"/>
          <w:bCs/>
          <w:sz w:val="24"/>
          <w:szCs w:val="24"/>
        </w:rPr>
        <w:t>1.价格分</w:t>
      </w:r>
      <w:r w:rsidRPr="002374B1">
        <w:rPr>
          <w:rFonts w:ascii="宋体" w:hAnsi="宋体" w:cs="宋体" w:hint="eastAsia"/>
          <w:sz w:val="24"/>
          <w:szCs w:val="24"/>
        </w:rPr>
        <w:t>【满分</w:t>
      </w:r>
      <w:r>
        <w:rPr>
          <w:rFonts w:ascii="宋体" w:hAnsi="宋体" w:cs="宋体"/>
          <w:sz w:val="24"/>
          <w:szCs w:val="24"/>
        </w:rPr>
        <w:t>4</w:t>
      </w:r>
      <w:r w:rsidRPr="002374B1">
        <w:rPr>
          <w:rFonts w:ascii="宋体" w:hAnsi="宋体" w:cs="宋体" w:hint="eastAsia"/>
          <w:sz w:val="24"/>
          <w:szCs w:val="24"/>
        </w:rPr>
        <w:t>0分】：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992"/>
        <w:gridCol w:w="5953"/>
      </w:tblGrid>
      <w:tr w:rsidR="00C06A22" w:rsidRPr="002374B1" w14:paraId="77854572" w14:textId="77777777" w:rsidTr="0067786B">
        <w:trPr>
          <w:trHeight w:val="454"/>
        </w:trPr>
        <w:tc>
          <w:tcPr>
            <w:tcW w:w="851" w:type="dxa"/>
            <w:noWrap/>
            <w:vAlign w:val="center"/>
          </w:tcPr>
          <w:p w14:paraId="1BA2C8FF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cap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14:paraId="4F058EE4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评分因素</w:t>
            </w:r>
          </w:p>
        </w:tc>
        <w:tc>
          <w:tcPr>
            <w:tcW w:w="992" w:type="dxa"/>
            <w:noWrap/>
            <w:vAlign w:val="center"/>
          </w:tcPr>
          <w:p w14:paraId="234799C5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分值</w:t>
            </w:r>
          </w:p>
        </w:tc>
        <w:tc>
          <w:tcPr>
            <w:tcW w:w="5953" w:type="dxa"/>
            <w:noWrap/>
            <w:vAlign w:val="center"/>
          </w:tcPr>
          <w:p w14:paraId="0CE2E559" w14:textId="77777777" w:rsidR="00C06A22" w:rsidRPr="002374B1" w:rsidRDefault="00C06A22" w:rsidP="0067786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评分标准</w:t>
            </w:r>
          </w:p>
        </w:tc>
      </w:tr>
      <w:tr w:rsidR="00C06A22" w:rsidRPr="002374B1" w14:paraId="7635CC77" w14:textId="77777777" w:rsidTr="0067786B">
        <w:trPr>
          <w:trHeight w:val="454"/>
        </w:trPr>
        <w:tc>
          <w:tcPr>
            <w:tcW w:w="851" w:type="dxa"/>
            <w:noWrap/>
            <w:vAlign w:val="center"/>
          </w:tcPr>
          <w:p w14:paraId="4EC61682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1.1</w:t>
            </w:r>
          </w:p>
        </w:tc>
        <w:tc>
          <w:tcPr>
            <w:tcW w:w="1276" w:type="dxa"/>
            <w:noWrap/>
            <w:vAlign w:val="center"/>
          </w:tcPr>
          <w:p w14:paraId="205A48E1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374B1">
              <w:rPr>
                <w:bCs/>
                <w:sz w:val="24"/>
                <w:szCs w:val="24"/>
              </w:rPr>
              <w:t>响应报价</w:t>
            </w:r>
          </w:p>
        </w:tc>
        <w:tc>
          <w:tcPr>
            <w:tcW w:w="992" w:type="dxa"/>
            <w:noWrap/>
            <w:vAlign w:val="center"/>
          </w:tcPr>
          <w:p w14:paraId="42AA9670" w14:textId="77777777" w:rsidR="00C06A22" w:rsidRPr="002374B1" w:rsidRDefault="002374B1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40</w:t>
            </w:r>
          </w:p>
        </w:tc>
        <w:tc>
          <w:tcPr>
            <w:tcW w:w="5953" w:type="dxa"/>
            <w:noWrap/>
            <w:vAlign w:val="center"/>
          </w:tcPr>
          <w:p w14:paraId="255A1118" w14:textId="77777777" w:rsidR="00AA211A" w:rsidRPr="00AA211A" w:rsidRDefault="00AA211A" w:rsidP="00AA211A">
            <w:pPr>
              <w:spacing w:line="360" w:lineRule="auto"/>
              <w:rPr>
                <w:sz w:val="24"/>
                <w:szCs w:val="24"/>
              </w:rPr>
            </w:pPr>
            <w:r w:rsidRPr="00AA211A">
              <w:rPr>
                <w:rFonts w:hint="eastAsia"/>
                <w:sz w:val="24"/>
                <w:szCs w:val="24"/>
              </w:rPr>
              <w:t>产品报价得分</w:t>
            </w:r>
            <w:r w:rsidRPr="00AA211A">
              <w:rPr>
                <w:rFonts w:hint="eastAsia"/>
                <w:sz w:val="24"/>
                <w:szCs w:val="24"/>
              </w:rPr>
              <w:t>S=</w:t>
            </w:r>
            <w:proofErr w:type="spellStart"/>
            <w:r w:rsidRPr="00AA211A">
              <w:rPr>
                <w:rFonts w:hint="eastAsia"/>
                <w:sz w:val="24"/>
                <w:szCs w:val="24"/>
              </w:rPr>
              <w:t>Pmin</w:t>
            </w:r>
            <w:proofErr w:type="spellEnd"/>
            <w:r w:rsidRPr="00AA211A">
              <w:rPr>
                <w:rFonts w:hint="eastAsia"/>
                <w:sz w:val="24"/>
                <w:szCs w:val="24"/>
              </w:rPr>
              <w:t>/P</w:t>
            </w:r>
            <w:r w:rsidRPr="00AA211A">
              <w:rPr>
                <w:rFonts w:hint="eastAsia"/>
                <w:sz w:val="24"/>
                <w:szCs w:val="24"/>
              </w:rPr>
              <w:t>×</w:t>
            </w:r>
            <w:r w:rsidRPr="00AA211A">
              <w:rPr>
                <w:rFonts w:hint="eastAsia"/>
                <w:sz w:val="24"/>
                <w:szCs w:val="24"/>
              </w:rPr>
              <w:t>40</w:t>
            </w:r>
          </w:p>
          <w:p w14:paraId="0B4E875C" w14:textId="77777777" w:rsidR="00AA211A" w:rsidRPr="00AA211A" w:rsidRDefault="00AA211A" w:rsidP="00AA211A">
            <w:pPr>
              <w:spacing w:line="360" w:lineRule="auto"/>
              <w:rPr>
                <w:sz w:val="24"/>
                <w:szCs w:val="24"/>
              </w:rPr>
            </w:pPr>
            <w:r w:rsidRPr="00AA211A">
              <w:rPr>
                <w:rFonts w:hint="eastAsia"/>
                <w:sz w:val="24"/>
                <w:szCs w:val="24"/>
              </w:rPr>
              <w:t>P</w:t>
            </w:r>
            <w:r w:rsidRPr="00AA211A">
              <w:rPr>
                <w:rFonts w:hint="eastAsia"/>
                <w:sz w:val="24"/>
                <w:szCs w:val="24"/>
              </w:rPr>
              <w:t>为供应商所投</w:t>
            </w:r>
            <w:r w:rsidR="00AD49FA">
              <w:rPr>
                <w:rFonts w:hint="eastAsia"/>
                <w:sz w:val="24"/>
                <w:szCs w:val="24"/>
              </w:rPr>
              <w:t>包号</w:t>
            </w:r>
            <w:r w:rsidRPr="00AA211A">
              <w:rPr>
                <w:rFonts w:hint="eastAsia"/>
                <w:sz w:val="24"/>
                <w:szCs w:val="24"/>
              </w:rPr>
              <w:t>产品的最高报价；</w:t>
            </w:r>
          </w:p>
          <w:p w14:paraId="5EAB8C64" w14:textId="77777777" w:rsidR="00C06A22" w:rsidRPr="002374B1" w:rsidRDefault="00AA211A" w:rsidP="00AA211A">
            <w:pPr>
              <w:spacing w:line="360" w:lineRule="auto"/>
              <w:rPr>
                <w:color w:val="FF0000"/>
                <w:sz w:val="24"/>
                <w:szCs w:val="24"/>
              </w:rPr>
            </w:pPr>
            <w:proofErr w:type="spellStart"/>
            <w:r w:rsidRPr="00AA211A">
              <w:rPr>
                <w:rFonts w:hint="eastAsia"/>
                <w:sz w:val="24"/>
                <w:szCs w:val="24"/>
              </w:rPr>
              <w:t>Pmin</w:t>
            </w:r>
            <w:proofErr w:type="spellEnd"/>
            <w:r w:rsidRPr="00AA211A">
              <w:rPr>
                <w:rFonts w:hint="eastAsia"/>
                <w:sz w:val="24"/>
                <w:szCs w:val="24"/>
              </w:rPr>
              <w:t>为所有供应商报价</w:t>
            </w:r>
            <w:r w:rsidRPr="00AA211A">
              <w:rPr>
                <w:rFonts w:hint="eastAsia"/>
                <w:sz w:val="24"/>
                <w:szCs w:val="24"/>
              </w:rPr>
              <w:t>P</w:t>
            </w:r>
            <w:r w:rsidRPr="00AA211A">
              <w:rPr>
                <w:rFonts w:hint="eastAsia"/>
                <w:sz w:val="24"/>
                <w:szCs w:val="24"/>
              </w:rPr>
              <w:t>值的最小值。</w:t>
            </w:r>
          </w:p>
        </w:tc>
      </w:tr>
    </w:tbl>
    <w:p w14:paraId="08F1DFE7" w14:textId="77777777" w:rsidR="002374B1" w:rsidRPr="002374B1" w:rsidRDefault="002374B1" w:rsidP="002374B1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</w:rPr>
      </w:pPr>
      <w:r w:rsidRPr="002374B1">
        <w:rPr>
          <w:rFonts w:ascii="宋体" w:hAnsi="宋体" w:cs="宋体" w:hint="eastAsia"/>
          <w:bCs/>
          <w:sz w:val="24"/>
          <w:szCs w:val="24"/>
        </w:rPr>
        <w:t>2.技术分【满分3</w:t>
      </w:r>
      <w:r w:rsidR="00FC235E">
        <w:rPr>
          <w:rFonts w:ascii="宋体" w:hAnsi="宋体" w:cs="宋体" w:hint="eastAsia"/>
          <w:bCs/>
          <w:sz w:val="24"/>
          <w:szCs w:val="24"/>
        </w:rPr>
        <w:t>5</w:t>
      </w:r>
      <w:r w:rsidRPr="002374B1">
        <w:rPr>
          <w:rFonts w:ascii="宋体" w:hAnsi="宋体" w:cs="宋体" w:hint="eastAsia"/>
          <w:bCs/>
          <w:sz w:val="24"/>
          <w:szCs w:val="24"/>
        </w:rPr>
        <w:t>分】：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992"/>
        <w:gridCol w:w="5953"/>
      </w:tblGrid>
      <w:tr w:rsidR="00C06A22" w:rsidRPr="002374B1" w14:paraId="74428BE5" w14:textId="77777777" w:rsidTr="0067786B">
        <w:trPr>
          <w:trHeight w:val="454"/>
        </w:trPr>
        <w:tc>
          <w:tcPr>
            <w:tcW w:w="851" w:type="dxa"/>
            <w:noWrap/>
            <w:vAlign w:val="center"/>
          </w:tcPr>
          <w:p w14:paraId="42275F55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cap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14:paraId="7B81257A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评分因素</w:t>
            </w:r>
          </w:p>
        </w:tc>
        <w:tc>
          <w:tcPr>
            <w:tcW w:w="992" w:type="dxa"/>
            <w:noWrap/>
            <w:vAlign w:val="center"/>
          </w:tcPr>
          <w:p w14:paraId="2487C537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分值</w:t>
            </w:r>
          </w:p>
        </w:tc>
        <w:tc>
          <w:tcPr>
            <w:tcW w:w="5953" w:type="dxa"/>
            <w:noWrap/>
            <w:vAlign w:val="center"/>
          </w:tcPr>
          <w:p w14:paraId="07A58741" w14:textId="77777777" w:rsidR="00C06A22" w:rsidRPr="002374B1" w:rsidRDefault="00C06A22" w:rsidP="0067786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评分标准</w:t>
            </w:r>
          </w:p>
        </w:tc>
      </w:tr>
      <w:tr w:rsidR="00C06A22" w:rsidRPr="002374B1" w14:paraId="2E09475E" w14:textId="77777777" w:rsidTr="0067786B">
        <w:trPr>
          <w:trHeight w:val="454"/>
        </w:trPr>
        <w:tc>
          <w:tcPr>
            <w:tcW w:w="851" w:type="dxa"/>
            <w:noWrap/>
            <w:vAlign w:val="center"/>
          </w:tcPr>
          <w:p w14:paraId="37FDD4BE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2.1</w:t>
            </w:r>
          </w:p>
        </w:tc>
        <w:tc>
          <w:tcPr>
            <w:tcW w:w="1276" w:type="dxa"/>
            <w:noWrap/>
            <w:vAlign w:val="center"/>
          </w:tcPr>
          <w:p w14:paraId="1FD73CF1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产品性能综合评价</w:t>
            </w:r>
          </w:p>
        </w:tc>
        <w:tc>
          <w:tcPr>
            <w:tcW w:w="992" w:type="dxa"/>
            <w:noWrap/>
            <w:vAlign w:val="center"/>
          </w:tcPr>
          <w:p w14:paraId="1F499AB5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5953" w:type="dxa"/>
            <w:noWrap/>
            <w:vAlign w:val="center"/>
          </w:tcPr>
          <w:p w14:paraId="65C0CB39" w14:textId="77777777" w:rsidR="00AA211A" w:rsidRPr="00AA211A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评审小组对投标供应商投标产品的①产品适用性、安全性；②操作简易方便程度；③技术设计；④临床诊疗效果。进行综合评价：</w:t>
            </w:r>
          </w:p>
          <w:p w14:paraId="30412FC3" w14:textId="77777777" w:rsidR="00AA211A" w:rsidRPr="00AA211A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（1）产品适用性、安全性强，操作简易方便，技术设计科学合理，临床诊疗效果显著，16～20分；</w:t>
            </w:r>
          </w:p>
          <w:p w14:paraId="4FD20E73" w14:textId="77777777" w:rsidR="00AA211A" w:rsidRPr="00AA211A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（2）产品适用性、安全性较强，操作较方便，技术设计较科学合理，临床诊疗效果较好，8～15分；</w:t>
            </w:r>
          </w:p>
          <w:p w14:paraId="48813DF9" w14:textId="77777777" w:rsidR="00AA211A" w:rsidRPr="00AA211A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（3）产品适用性、操作性、临床诊疗效果一般：1～7分；</w:t>
            </w:r>
          </w:p>
          <w:p w14:paraId="21335E63" w14:textId="77777777" w:rsidR="00AA211A" w:rsidRPr="00AA211A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（4）未按要求提供技术资料或专家认为产品不符合要求：0分。</w:t>
            </w:r>
          </w:p>
          <w:p w14:paraId="4AB8C924" w14:textId="77777777" w:rsidR="00C06A22" w:rsidRPr="002374B1" w:rsidRDefault="00AA211A" w:rsidP="00AA211A">
            <w:pPr>
              <w:spacing w:line="360" w:lineRule="auto"/>
              <w:rPr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注：投标供应商须提供投标产品的技术资料（包含但不限于产品说明书、宣传页、检验报告）作为证明材料，</w:t>
            </w:r>
            <w:r w:rsidRPr="00AA211A">
              <w:rPr>
                <w:rFonts w:ascii="宋体" w:hAnsi="宋体" w:cs="宋体" w:hint="eastAsia"/>
                <w:sz w:val="24"/>
                <w:szCs w:val="24"/>
              </w:rPr>
              <w:lastRenderedPageBreak/>
              <w:t>并加盖制造商公章。</w:t>
            </w:r>
            <w:r w:rsidR="00C06A22" w:rsidRPr="002374B1">
              <w:rPr>
                <w:rFonts w:ascii="宋体" w:hAnsi="宋体" w:cs="宋体" w:hint="eastAsia"/>
                <w:bCs/>
                <w:sz w:val="24"/>
                <w:szCs w:val="24"/>
              </w:rPr>
              <w:t>注：投标供应商须提供投标产品的技术资料（包含但不限于产品说明书、宣传页、检验报告）作为证明材料，并加盖制造商公章。</w:t>
            </w:r>
          </w:p>
        </w:tc>
      </w:tr>
      <w:tr w:rsidR="00C06A22" w:rsidRPr="002374B1" w14:paraId="48CFC44A" w14:textId="77777777" w:rsidTr="0067786B">
        <w:trPr>
          <w:trHeight w:val="454"/>
        </w:trPr>
        <w:tc>
          <w:tcPr>
            <w:tcW w:w="851" w:type="dxa"/>
            <w:noWrap/>
            <w:vAlign w:val="center"/>
          </w:tcPr>
          <w:p w14:paraId="35039A18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76" w:type="dxa"/>
            <w:noWrap/>
            <w:vAlign w:val="center"/>
          </w:tcPr>
          <w:p w14:paraId="663B665B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样品</w:t>
            </w:r>
          </w:p>
        </w:tc>
        <w:tc>
          <w:tcPr>
            <w:tcW w:w="992" w:type="dxa"/>
            <w:noWrap/>
            <w:vAlign w:val="center"/>
          </w:tcPr>
          <w:p w14:paraId="0FD29085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5953" w:type="dxa"/>
            <w:noWrap/>
            <w:vAlign w:val="center"/>
          </w:tcPr>
          <w:p w14:paraId="1BFF0188" w14:textId="77777777" w:rsidR="00AA211A" w:rsidRPr="00AA211A" w:rsidRDefault="00AA211A" w:rsidP="00AA211A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评审小组根据供应商所提供样品的质量、工艺、材质、功能等进行综合评分（针对未要求提供样品的品目，该项均按满分给予所有该品目的合格投标供应商）：</w:t>
            </w:r>
          </w:p>
          <w:p w14:paraId="20EA6F43" w14:textId="77777777" w:rsidR="00AA211A" w:rsidRPr="00AA211A" w:rsidRDefault="00AA211A" w:rsidP="00AA211A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（1）样品符合临床使用要求及标准，满足使用功能，做工精细、无瑕疵，形状结构均符合临床使用标准，得6-10分；</w:t>
            </w:r>
          </w:p>
          <w:p w14:paraId="5CBB214C" w14:textId="77777777" w:rsidR="00AA211A" w:rsidRPr="00AA211A" w:rsidRDefault="00AA211A" w:rsidP="00AA211A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（2）样品基本符合临床使用要求，基本满足使用功能，做工一般，得2-5分；</w:t>
            </w:r>
          </w:p>
          <w:p w14:paraId="11F95726" w14:textId="77777777" w:rsidR="00AA211A" w:rsidRPr="00AA211A" w:rsidRDefault="00AA211A" w:rsidP="00AA211A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（3）样品不能满足临床使用要求，做工粗糙，不满足使用功能，得1分；</w:t>
            </w:r>
          </w:p>
          <w:p w14:paraId="25910DEB" w14:textId="77777777" w:rsidR="00C06A22" w:rsidRPr="002374B1" w:rsidRDefault="00AA211A" w:rsidP="00AA211A">
            <w:pPr>
              <w:spacing w:line="36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（4）未提供样品或提供不全，得0分。</w:t>
            </w:r>
          </w:p>
        </w:tc>
      </w:tr>
      <w:tr w:rsidR="00FC235E" w:rsidRPr="002374B1" w14:paraId="37105B51" w14:textId="77777777" w:rsidTr="0067786B">
        <w:trPr>
          <w:trHeight w:val="454"/>
        </w:trPr>
        <w:tc>
          <w:tcPr>
            <w:tcW w:w="851" w:type="dxa"/>
            <w:noWrap/>
            <w:vAlign w:val="center"/>
          </w:tcPr>
          <w:p w14:paraId="65AA3581" w14:textId="77777777" w:rsidR="00FC235E" w:rsidRPr="002374B1" w:rsidRDefault="00FC235E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2.3</w:t>
            </w:r>
          </w:p>
        </w:tc>
        <w:tc>
          <w:tcPr>
            <w:tcW w:w="1276" w:type="dxa"/>
            <w:noWrap/>
            <w:vAlign w:val="center"/>
          </w:tcPr>
          <w:p w14:paraId="4DD381E9" w14:textId="77777777" w:rsidR="00FC235E" w:rsidRPr="002374B1" w:rsidRDefault="00FC235E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横向评价</w:t>
            </w:r>
          </w:p>
        </w:tc>
        <w:tc>
          <w:tcPr>
            <w:tcW w:w="992" w:type="dxa"/>
            <w:noWrap/>
            <w:vAlign w:val="center"/>
          </w:tcPr>
          <w:p w14:paraId="462B9EA3" w14:textId="77777777" w:rsidR="00FC235E" w:rsidRPr="002374B1" w:rsidRDefault="00FC235E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  <w:noWrap/>
            <w:vAlign w:val="center"/>
          </w:tcPr>
          <w:p w14:paraId="1271A8A3" w14:textId="77777777" w:rsidR="00AA211A" w:rsidRPr="00AA211A" w:rsidRDefault="00AA211A" w:rsidP="00AA211A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评审小组对投标产品进行横向比较并打分。</w:t>
            </w:r>
          </w:p>
          <w:p w14:paraId="2D5F2B64" w14:textId="77777777" w:rsidR="00FC235E" w:rsidRDefault="00AA211A" w:rsidP="00AA211A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优 5分，良 3分，中 1分，差不得分</w:t>
            </w:r>
          </w:p>
        </w:tc>
      </w:tr>
    </w:tbl>
    <w:p w14:paraId="098C10EA" w14:textId="77777777" w:rsidR="00C06A22" w:rsidRPr="002374B1" w:rsidRDefault="00C06A22" w:rsidP="00C06A22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</w:rPr>
      </w:pPr>
      <w:r w:rsidRPr="002374B1">
        <w:rPr>
          <w:rFonts w:ascii="宋体" w:hAnsi="宋体" w:cs="宋体" w:hint="eastAsia"/>
          <w:bCs/>
          <w:sz w:val="24"/>
          <w:szCs w:val="24"/>
        </w:rPr>
        <w:t>3.商务分【满分</w:t>
      </w:r>
      <w:r w:rsidR="00FC235E">
        <w:rPr>
          <w:rFonts w:ascii="宋体" w:hAnsi="宋体" w:cs="宋体" w:hint="eastAsia"/>
          <w:bCs/>
          <w:sz w:val="24"/>
          <w:szCs w:val="24"/>
        </w:rPr>
        <w:t>25</w:t>
      </w:r>
      <w:r w:rsidRPr="002374B1">
        <w:rPr>
          <w:rFonts w:ascii="宋体" w:hAnsi="宋体" w:cs="宋体" w:hint="eastAsia"/>
          <w:bCs/>
          <w:sz w:val="24"/>
          <w:szCs w:val="24"/>
        </w:rPr>
        <w:t>分】：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712"/>
        <w:gridCol w:w="732"/>
        <w:gridCol w:w="5886"/>
      </w:tblGrid>
      <w:tr w:rsidR="00C06A22" w:rsidRPr="002374B1" w14:paraId="30017429" w14:textId="77777777" w:rsidTr="0067786B">
        <w:trPr>
          <w:trHeight w:val="454"/>
        </w:trPr>
        <w:tc>
          <w:tcPr>
            <w:tcW w:w="742" w:type="dxa"/>
            <w:noWrap/>
            <w:vAlign w:val="center"/>
          </w:tcPr>
          <w:p w14:paraId="5D71965B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cap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712" w:type="dxa"/>
            <w:noWrap/>
            <w:vAlign w:val="center"/>
          </w:tcPr>
          <w:p w14:paraId="69A2077C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评分因素</w:t>
            </w:r>
          </w:p>
        </w:tc>
        <w:tc>
          <w:tcPr>
            <w:tcW w:w="732" w:type="dxa"/>
            <w:noWrap/>
            <w:vAlign w:val="center"/>
          </w:tcPr>
          <w:p w14:paraId="08060581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分值</w:t>
            </w:r>
          </w:p>
        </w:tc>
        <w:tc>
          <w:tcPr>
            <w:tcW w:w="5886" w:type="dxa"/>
            <w:noWrap/>
            <w:vAlign w:val="center"/>
          </w:tcPr>
          <w:p w14:paraId="6A0DD717" w14:textId="77777777" w:rsidR="00C06A22" w:rsidRPr="002374B1" w:rsidRDefault="00C06A22" w:rsidP="0067786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评分标准</w:t>
            </w:r>
          </w:p>
        </w:tc>
      </w:tr>
      <w:tr w:rsidR="00C06A22" w:rsidRPr="002374B1" w14:paraId="0D7DEE35" w14:textId="77777777" w:rsidTr="0067786B">
        <w:trPr>
          <w:trHeight w:val="454"/>
        </w:trPr>
        <w:tc>
          <w:tcPr>
            <w:tcW w:w="742" w:type="dxa"/>
            <w:noWrap/>
            <w:vAlign w:val="center"/>
          </w:tcPr>
          <w:p w14:paraId="42D20476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3.1</w:t>
            </w:r>
          </w:p>
        </w:tc>
        <w:tc>
          <w:tcPr>
            <w:tcW w:w="1712" w:type="dxa"/>
            <w:noWrap/>
            <w:vAlign w:val="center"/>
          </w:tcPr>
          <w:p w14:paraId="0E020C38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业绩</w:t>
            </w:r>
          </w:p>
        </w:tc>
        <w:tc>
          <w:tcPr>
            <w:tcW w:w="732" w:type="dxa"/>
            <w:noWrap/>
            <w:vAlign w:val="center"/>
          </w:tcPr>
          <w:p w14:paraId="7F9B82A7" w14:textId="77777777" w:rsidR="00C06A22" w:rsidRPr="002374B1" w:rsidRDefault="00623616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5886" w:type="dxa"/>
            <w:noWrap/>
            <w:vAlign w:val="center"/>
          </w:tcPr>
          <w:p w14:paraId="0BF0375C" w14:textId="77777777" w:rsidR="00AA211A" w:rsidRPr="00AA211A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根据投标产品2023年1月至今在全国综合性三甲医院供货业绩进行评分：</w:t>
            </w:r>
          </w:p>
          <w:p w14:paraId="19886D1C" w14:textId="77777777" w:rsidR="00AA211A" w:rsidRPr="00AA211A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提供1个有效业绩，得2分，最高10分。</w:t>
            </w:r>
          </w:p>
          <w:p w14:paraId="21CE96DA" w14:textId="77777777" w:rsidR="00C06A22" w:rsidRPr="002374B1" w:rsidRDefault="00AA211A" w:rsidP="00AA211A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sz w:val="24"/>
                <w:szCs w:val="24"/>
              </w:rPr>
              <w:t>注：仅限含采购产品规格型号的价格发票或合同复印件（加盖鲜章），一家医院只能算一个业绩。</w:t>
            </w:r>
          </w:p>
        </w:tc>
      </w:tr>
      <w:tr w:rsidR="00C06A22" w:rsidRPr="002374B1" w14:paraId="1F50B859" w14:textId="77777777" w:rsidTr="0067786B">
        <w:trPr>
          <w:trHeight w:val="454"/>
        </w:trPr>
        <w:tc>
          <w:tcPr>
            <w:tcW w:w="742" w:type="dxa"/>
            <w:noWrap/>
            <w:vAlign w:val="center"/>
          </w:tcPr>
          <w:p w14:paraId="332825E5" w14:textId="77777777" w:rsidR="00C06A22" w:rsidRPr="002374B1" w:rsidRDefault="00C06A22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3.2</w:t>
            </w:r>
          </w:p>
        </w:tc>
        <w:tc>
          <w:tcPr>
            <w:tcW w:w="1712" w:type="dxa"/>
            <w:noWrap/>
            <w:vAlign w:val="center"/>
          </w:tcPr>
          <w:p w14:paraId="26429656" w14:textId="77777777" w:rsidR="00C06A22" w:rsidRPr="002374B1" w:rsidRDefault="00623616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仓库地址</w:t>
            </w:r>
          </w:p>
        </w:tc>
        <w:tc>
          <w:tcPr>
            <w:tcW w:w="732" w:type="dxa"/>
            <w:noWrap/>
            <w:vAlign w:val="center"/>
          </w:tcPr>
          <w:p w14:paraId="638E3A68" w14:textId="77777777" w:rsidR="00C06A22" w:rsidRPr="002374B1" w:rsidRDefault="00623616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5886" w:type="dxa"/>
            <w:noWrap/>
            <w:vAlign w:val="center"/>
          </w:tcPr>
          <w:p w14:paraId="62638777" w14:textId="77777777" w:rsidR="00C06A22" w:rsidRPr="002374B1" w:rsidRDefault="00623616" w:rsidP="0067786B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以提供场地证明/租赁合同/房屋租赁登记备案证明为准，在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都匀市</w:t>
            </w: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设有仓库得5分，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黔南州内都匀市外</w:t>
            </w: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其他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地区</w:t>
            </w: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得3分，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贵州省</w:t>
            </w: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内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黔南州</w:t>
            </w: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外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其他地区</w:t>
            </w: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得1分，其余不得分。</w:t>
            </w:r>
          </w:p>
        </w:tc>
      </w:tr>
      <w:tr w:rsidR="00C06A22" w:rsidRPr="002374B1" w14:paraId="095640C1" w14:textId="77777777" w:rsidTr="0067786B">
        <w:trPr>
          <w:trHeight w:val="454"/>
        </w:trPr>
        <w:tc>
          <w:tcPr>
            <w:tcW w:w="742" w:type="dxa"/>
            <w:noWrap/>
            <w:vAlign w:val="center"/>
          </w:tcPr>
          <w:p w14:paraId="76BCF92F" w14:textId="77777777" w:rsidR="00C06A22" w:rsidRPr="002374B1" w:rsidRDefault="00C06A22" w:rsidP="002374B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374B1">
              <w:rPr>
                <w:rFonts w:ascii="宋体" w:hAnsi="宋体" w:cs="宋体" w:hint="eastAsia"/>
                <w:bCs/>
                <w:sz w:val="24"/>
                <w:szCs w:val="24"/>
              </w:rPr>
              <w:t>3.</w:t>
            </w:r>
            <w:r w:rsidR="002374B1" w:rsidRPr="002374B1">
              <w:rPr>
                <w:rFonts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712" w:type="dxa"/>
            <w:noWrap/>
            <w:vAlign w:val="center"/>
          </w:tcPr>
          <w:p w14:paraId="4AB06B85" w14:textId="77777777" w:rsidR="00C06A22" w:rsidRPr="002374B1" w:rsidRDefault="00623616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t>配送/售后服</w:t>
            </w:r>
            <w:r w:rsidRPr="00623616"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务</w:t>
            </w:r>
          </w:p>
        </w:tc>
        <w:tc>
          <w:tcPr>
            <w:tcW w:w="732" w:type="dxa"/>
            <w:noWrap/>
            <w:vAlign w:val="center"/>
          </w:tcPr>
          <w:p w14:paraId="6D19B96F" w14:textId="77777777" w:rsidR="00C06A22" w:rsidRPr="002374B1" w:rsidRDefault="00623616" w:rsidP="0067786B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886" w:type="dxa"/>
            <w:noWrap/>
            <w:vAlign w:val="center"/>
          </w:tcPr>
          <w:p w14:paraId="0EEBDBA7" w14:textId="77777777" w:rsidR="00C06A22" w:rsidRPr="002374B1" w:rsidRDefault="00AA211A" w:rsidP="0067786B">
            <w:pPr>
              <w:spacing w:line="36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AA211A">
              <w:rPr>
                <w:rFonts w:ascii="宋体" w:hAnsi="宋体" w:cs="宋体" w:hint="eastAsia"/>
                <w:bCs/>
                <w:sz w:val="24"/>
                <w:szCs w:val="24"/>
              </w:rPr>
              <w:t>配送售后服务好，6-10分，配送售后服务一般，1-5分，</w:t>
            </w:r>
            <w:r w:rsidRPr="00AA211A"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配送售后服务差，不得分。</w:t>
            </w:r>
          </w:p>
        </w:tc>
      </w:tr>
    </w:tbl>
    <w:p w14:paraId="4CFEF099" w14:textId="77777777" w:rsidR="00280BF8" w:rsidRDefault="00592A67" w:rsidP="006071EE">
      <w:pPr>
        <w:ind w:firstLine="596"/>
        <w:jc w:val="left"/>
        <w:rPr>
          <w:rFonts w:ascii="仿宋_GB2312" w:eastAsia="仿宋_GB2312"/>
          <w:color w:val="000000"/>
          <w:sz w:val="30"/>
          <w:szCs w:val="30"/>
        </w:rPr>
      </w:pPr>
      <w:r w:rsidRPr="00592A67">
        <w:rPr>
          <w:rFonts w:ascii="仿宋_GB2312" w:eastAsia="仿宋_GB2312" w:hint="eastAsia"/>
          <w:color w:val="000000"/>
          <w:sz w:val="32"/>
          <w:szCs w:val="32"/>
        </w:rPr>
        <w:lastRenderedPageBreak/>
        <w:t>说明：①供应商须提供以上评分标准中涉及到的资料和证明材料供</w:t>
      </w:r>
      <w:r w:rsidR="00A13DAF">
        <w:rPr>
          <w:rFonts w:ascii="仿宋_GB2312" w:eastAsia="仿宋_GB2312" w:hint="eastAsia"/>
          <w:color w:val="000000"/>
          <w:sz w:val="32"/>
          <w:szCs w:val="32"/>
        </w:rPr>
        <w:t>评审</w:t>
      </w:r>
      <w:r w:rsidRPr="00592A67">
        <w:rPr>
          <w:rFonts w:ascii="仿宋_GB2312" w:eastAsia="仿宋_GB2312" w:hint="eastAsia"/>
          <w:color w:val="000000"/>
          <w:sz w:val="32"/>
          <w:szCs w:val="32"/>
        </w:rPr>
        <w:t>小组评审，并清晰标注页码；②</w:t>
      </w:r>
      <w:r w:rsidR="00A13DAF">
        <w:rPr>
          <w:rFonts w:ascii="仿宋_GB2312" w:eastAsia="仿宋_GB2312" w:hint="eastAsia"/>
          <w:color w:val="000000"/>
          <w:sz w:val="32"/>
          <w:szCs w:val="32"/>
        </w:rPr>
        <w:t>评审</w:t>
      </w:r>
      <w:r w:rsidRPr="00592A67">
        <w:rPr>
          <w:rFonts w:ascii="仿宋_GB2312" w:eastAsia="仿宋_GB2312" w:hint="eastAsia"/>
          <w:color w:val="000000"/>
          <w:sz w:val="32"/>
          <w:szCs w:val="32"/>
        </w:rPr>
        <w:t>小组认定响应文件的响应性仅根据响应文件本身的内容，不得寻求外部的证据；③供应商应按上述评分标准自行提供有关方案或证明资料。</w:t>
      </w:r>
      <w:r>
        <w:rPr>
          <w:rFonts w:ascii="仿宋_GB2312" w:eastAsia="仿宋_GB2312" w:hint="eastAsia"/>
          <w:color w:val="000000"/>
          <w:sz w:val="32"/>
          <w:szCs w:val="32"/>
        </w:rPr>
        <w:t>④</w:t>
      </w:r>
      <w:r w:rsidR="007C4DEC" w:rsidRPr="00F60E40">
        <w:rPr>
          <w:rFonts w:ascii="仿宋_GB2312" w:eastAsia="仿宋_GB2312" w:hint="eastAsia"/>
          <w:color w:val="000000"/>
          <w:sz w:val="32"/>
          <w:szCs w:val="32"/>
        </w:rPr>
        <w:t>评标</w:t>
      </w:r>
      <w:r w:rsidR="000253C1" w:rsidRPr="00F60E40">
        <w:rPr>
          <w:rFonts w:ascii="仿宋_GB2312" w:eastAsia="仿宋_GB2312" w:hint="eastAsia"/>
          <w:color w:val="000000"/>
          <w:sz w:val="32"/>
          <w:szCs w:val="32"/>
        </w:rPr>
        <w:t>综合</w:t>
      </w:r>
      <w:r w:rsidR="007C4DEC" w:rsidRPr="00F60E40">
        <w:rPr>
          <w:rFonts w:ascii="仿宋_GB2312" w:eastAsia="仿宋_GB2312" w:hint="eastAsia"/>
          <w:color w:val="000000"/>
          <w:sz w:val="32"/>
          <w:szCs w:val="32"/>
        </w:rPr>
        <w:t>得分相同时，</w:t>
      </w:r>
      <w:r>
        <w:rPr>
          <w:rFonts w:ascii="仿宋_GB2312" w:eastAsia="仿宋_GB2312" w:hint="eastAsia"/>
          <w:color w:val="000000"/>
          <w:sz w:val="32"/>
          <w:szCs w:val="32"/>
        </w:rPr>
        <w:t>技术</w:t>
      </w:r>
      <w:r w:rsidR="007C4DEC" w:rsidRPr="00F60E40">
        <w:rPr>
          <w:rFonts w:ascii="仿宋_GB2312" w:eastAsia="仿宋_GB2312" w:hint="eastAsia"/>
          <w:color w:val="000000"/>
          <w:sz w:val="32"/>
          <w:szCs w:val="32"/>
        </w:rPr>
        <w:t>分高者</w:t>
      </w:r>
      <w:r w:rsidR="000253C1" w:rsidRPr="00F60E40">
        <w:rPr>
          <w:rFonts w:ascii="仿宋_GB2312" w:eastAsia="仿宋_GB2312" w:hint="eastAsia"/>
          <w:color w:val="000000"/>
          <w:sz w:val="32"/>
          <w:szCs w:val="32"/>
        </w:rPr>
        <w:t>优先</w:t>
      </w:r>
      <w:r w:rsidR="007C4DEC" w:rsidRPr="00F60E40">
        <w:rPr>
          <w:rFonts w:ascii="仿宋_GB2312" w:eastAsia="仿宋_GB2312" w:hint="eastAsia"/>
          <w:color w:val="000000"/>
          <w:sz w:val="32"/>
          <w:szCs w:val="32"/>
        </w:rPr>
        <w:t>中标；若价格分、</w:t>
      </w:r>
      <w:r>
        <w:rPr>
          <w:rFonts w:ascii="仿宋_GB2312" w:eastAsia="仿宋_GB2312" w:hint="eastAsia"/>
          <w:color w:val="000000"/>
          <w:sz w:val="32"/>
          <w:szCs w:val="32"/>
        </w:rPr>
        <w:t>技术</w:t>
      </w:r>
      <w:r w:rsidR="007C4DEC" w:rsidRPr="00F60E40">
        <w:rPr>
          <w:rFonts w:ascii="仿宋_GB2312" w:eastAsia="仿宋_GB2312" w:hint="eastAsia"/>
          <w:color w:val="000000"/>
          <w:sz w:val="32"/>
          <w:szCs w:val="32"/>
        </w:rPr>
        <w:t>分均相同时，</w:t>
      </w:r>
      <w:r w:rsidR="000253C1" w:rsidRPr="00F60E40">
        <w:rPr>
          <w:rFonts w:ascii="仿宋_GB2312" w:eastAsia="仿宋_GB2312" w:hint="eastAsia"/>
          <w:color w:val="000000"/>
          <w:sz w:val="32"/>
          <w:szCs w:val="32"/>
        </w:rPr>
        <w:t>由</w:t>
      </w:r>
      <w:r w:rsidR="007C4DEC" w:rsidRPr="00F60E40">
        <w:rPr>
          <w:rFonts w:ascii="仿宋_GB2312" w:eastAsia="仿宋_GB2312" w:hint="eastAsia"/>
          <w:color w:val="000000"/>
          <w:sz w:val="32"/>
          <w:szCs w:val="32"/>
        </w:rPr>
        <w:t>评标专家现场投票表决，得票多者中标。</w:t>
      </w:r>
      <w:r w:rsidR="006071EE">
        <w:rPr>
          <w:rFonts w:ascii="仿宋_GB2312" w:eastAsia="仿宋_GB2312" w:hint="eastAsia"/>
          <w:color w:val="000000"/>
          <w:sz w:val="32"/>
          <w:szCs w:val="32"/>
        </w:rPr>
        <w:t>⑤</w:t>
      </w:r>
      <w:r w:rsidR="00B823C2" w:rsidRPr="002078A5">
        <w:rPr>
          <w:rFonts w:ascii="仿宋_GB2312" w:eastAsia="仿宋_GB2312" w:hint="eastAsia"/>
          <w:color w:val="000000"/>
          <w:sz w:val="30"/>
          <w:szCs w:val="30"/>
        </w:rPr>
        <w:t>交易周期内</w:t>
      </w:r>
      <w:r w:rsidR="00DF6EBE" w:rsidRPr="002078A5">
        <w:rPr>
          <w:rFonts w:ascii="仿宋_GB2312" w:eastAsia="仿宋_GB2312" w:hint="eastAsia"/>
          <w:color w:val="000000"/>
          <w:sz w:val="30"/>
          <w:szCs w:val="30"/>
        </w:rPr>
        <w:t>如发现个别产品存在价格虚高</w:t>
      </w:r>
      <w:r w:rsidR="00B823C2" w:rsidRPr="002078A5">
        <w:rPr>
          <w:rFonts w:ascii="仿宋_GB2312" w:eastAsia="仿宋_GB2312" w:hint="eastAsia"/>
          <w:color w:val="000000"/>
          <w:sz w:val="30"/>
          <w:szCs w:val="30"/>
        </w:rPr>
        <w:t>或市场价格下调明显</w:t>
      </w:r>
      <w:r w:rsidR="00DF6EBE" w:rsidRPr="002078A5">
        <w:rPr>
          <w:rFonts w:ascii="仿宋_GB2312" w:eastAsia="仿宋_GB2312" w:hint="eastAsia"/>
          <w:color w:val="000000"/>
          <w:sz w:val="30"/>
          <w:szCs w:val="30"/>
        </w:rPr>
        <w:t>的情况</w:t>
      </w:r>
      <w:r w:rsidR="006042F9" w:rsidRPr="002078A5">
        <w:rPr>
          <w:rFonts w:ascii="仿宋_GB2312" w:eastAsia="仿宋_GB2312" w:hint="eastAsia"/>
          <w:color w:val="000000"/>
          <w:sz w:val="30"/>
          <w:szCs w:val="30"/>
        </w:rPr>
        <w:t>，</w:t>
      </w:r>
      <w:r w:rsidR="00F9772E" w:rsidRPr="002078A5">
        <w:rPr>
          <w:rFonts w:ascii="仿宋_GB2312" w:eastAsia="仿宋_GB2312" w:hint="eastAsia"/>
          <w:color w:val="000000"/>
          <w:sz w:val="30"/>
          <w:szCs w:val="30"/>
        </w:rPr>
        <w:t>采用就低不就高</w:t>
      </w:r>
      <w:r w:rsidR="00280BF8">
        <w:rPr>
          <w:rFonts w:ascii="仿宋_GB2312" w:eastAsia="仿宋_GB2312" w:hint="eastAsia"/>
          <w:color w:val="000000"/>
          <w:sz w:val="30"/>
          <w:szCs w:val="30"/>
        </w:rPr>
        <w:t>原则</w:t>
      </w:r>
      <w:r w:rsidR="00F9772E" w:rsidRPr="002078A5">
        <w:rPr>
          <w:rFonts w:ascii="仿宋_GB2312" w:eastAsia="仿宋_GB2312" w:hint="eastAsia"/>
          <w:color w:val="000000"/>
          <w:sz w:val="30"/>
          <w:szCs w:val="30"/>
        </w:rPr>
        <w:t>，</w:t>
      </w:r>
      <w:r w:rsidR="006042F9" w:rsidRPr="002078A5">
        <w:rPr>
          <w:rFonts w:ascii="仿宋_GB2312" w:eastAsia="仿宋_GB2312" w:hint="eastAsia"/>
          <w:color w:val="000000"/>
          <w:sz w:val="30"/>
          <w:szCs w:val="30"/>
        </w:rPr>
        <w:t>医院有权对</w:t>
      </w:r>
      <w:r w:rsidR="00B823C2" w:rsidRPr="002078A5">
        <w:rPr>
          <w:rFonts w:ascii="仿宋_GB2312" w:eastAsia="仿宋_GB2312" w:hint="eastAsia"/>
          <w:color w:val="000000"/>
          <w:sz w:val="30"/>
          <w:szCs w:val="30"/>
        </w:rPr>
        <w:t>此类产品价格</w:t>
      </w:r>
      <w:r w:rsidR="006042F9" w:rsidRPr="002078A5">
        <w:rPr>
          <w:rFonts w:ascii="仿宋_GB2312" w:eastAsia="仿宋_GB2312" w:hint="eastAsia"/>
          <w:color w:val="000000"/>
          <w:sz w:val="30"/>
          <w:szCs w:val="30"/>
        </w:rPr>
        <w:t>进行调整</w:t>
      </w:r>
      <w:r w:rsidR="00DF6EBE" w:rsidRPr="002078A5">
        <w:rPr>
          <w:rFonts w:ascii="仿宋_GB2312" w:eastAsia="仿宋_GB2312" w:hint="eastAsia"/>
          <w:color w:val="000000"/>
          <w:sz w:val="30"/>
          <w:szCs w:val="30"/>
        </w:rPr>
        <w:t>，情况极为恶劣的</w:t>
      </w:r>
      <w:r w:rsidR="00746161" w:rsidRPr="002078A5">
        <w:rPr>
          <w:rFonts w:ascii="仿宋_GB2312" w:eastAsia="仿宋_GB2312" w:hint="eastAsia"/>
          <w:color w:val="000000"/>
          <w:sz w:val="30"/>
          <w:szCs w:val="30"/>
        </w:rPr>
        <w:t>将</w:t>
      </w:r>
      <w:r w:rsidR="00DF6EBE" w:rsidRPr="002078A5">
        <w:rPr>
          <w:rFonts w:ascii="仿宋_GB2312" w:eastAsia="仿宋_GB2312" w:hint="eastAsia"/>
          <w:color w:val="000000"/>
          <w:sz w:val="30"/>
          <w:szCs w:val="30"/>
        </w:rPr>
        <w:t>取消其中标资格</w:t>
      </w:r>
      <w:r w:rsidR="006042F9" w:rsidRPr="002078A5">
        <w:rPr>
          <w:rFonts w:ascii="仿宋_GB2312" w:eastAsia="仿宋_GB2312" w:hint="eastAsia"/>
          <w:color w:val="000000"/>
          <w:sz w:val="30"/>
          <w:szCs w:val="30"/>
        </w:rPr>
        <w:t>。</w:t>
      </w:r>
      <w:r w:rsidR="006071EE">
        <w:rPr>
          <w:rFonts w:ascii="仿宋_GB2312" w:eastAsia="仿宋_GB2312" w:hint="eastAsia"/>
          <w:color w:val="000000"/>
          <w:sz w:val="30"/>
          <w:szCs w:val="30"/>
        </w:rPr>
        <w:t>⑥</w:t>
      </w:r>
      <w:r w:rsidR="006071EE" w:rsidRPr="002078A5">
        <w:rPr>
          <w:rFonts w:ascii="仿宋_GB2312" w:eastAsia="仿宋_GB2312" w:hint="eastAsia"/>
          <w:color w:val="000000"/>
          <w:sz w:val="30"/>
          <w:szCs w:val="30"/>
        </w:rPr>
        <w:t>交易周期内如</w:t>
      </w:r>
      <w:r w:rsidR="006071EE">
        <w:rPr>
          <w:rFonts w:ascii="仿宋_GB2312" w:eastAsia="仿宋_GB2312" w:hint="eastAsia"/>
          <w:color w:val="000000"/>
          <w:sz w:val="30"/>
          <w:szCs w:val="30"/>
        </w:rPr>
        <w:t>国家</w:t>
      </w:r>
      <w:r w:rsidR="006071EE">
        <w:rPr>
          <w:rFonts w:ascii="仿宋_GB2312" w:eastAsia="仿宋_GB2312"/>
          <w:color w:val="000000"/>
          <w:sz w:val="30"/>
          <w:szCs w:val="30"/>
        </w:rPr>
        <w:t>、省、州</w:t>
      </w:r>
      <w:r w:rsidR="006071EE">
        <w:rPr>
          <w:rFonts w:ascii="仿宋_GB2312" w:eastAsia="仿宋_GB2312" w:hint="eastAsia"/>
          <w:color w:val="000000"/>
          <w:sz w:val="30"/>
          <w:szCs w:val="30"/>
        </w:rPr>
        <w:t>有</w:t>
      </w:r>
      <w:r w:rsidR="006071EE">
        <w:rPr>
          <w:rFonts w:ascii="仿宋_GB2312" w:eastAsia="仿宋_GB2312"/>
          <w:color w:val="000000"/>
          <w:sz w:val="30"/>
          <w:szCs w:val="30"/>
        </w:rPr>
        <w:t>相关要求或医院</w:t>
      </w:r>
      <w:r w:rsidR="006071EE">
        <w:rPr>
          <w:rFonts w:ascii="仿宋_GB2312" w:eastAsia="仿宋_GB2312" w:hint="eastAsia"/>
          <w:color w:val="000000"/>
          <w:sz w:val="30"/>
          <w:szCs w:val="30"/>
        </w:rPr>
        <w:t>因</w:t>
      </w:r>
      <w:r w:rsidR="006071EE">
        <w:rPr>
          <w:rFonts w:ascii="仿宋_GB2312" w:eastAsia="仿宋_GB2312"/>
          <w:color w:val="000000"/>
          <w:sz w:val="30"/>
          <w:szCs w:val="30"/>
        </w:rPr>
        <w:t>业务调整需</w:t>
      </w:r>
      <w:r w:rsidR="006071EE">
        <w:rPr>
          <w:rFonts w:ascii="仿宋_GB2312" w:eastAsia="仿宋_GB2312" w:hint="eastAsia"/>
          <w:color w:val="000000"/>
          <w:sz w:val="30"/>
          <w:szCs w:val="30"/>
        </w:rPr>
        <w:t>另行集中</w:t>
      </w:r>
      <w:r w:rsidR="006071EE">
        <w:rPr>
          <w:rFonts w:ascii="仿宋_GB2312" w:eastAsia="仿宋_GB2312"/>
          <w:color w:val="000000"/>
          <w:sz w:val="30"/>
          <w:szCs w:val="30"/>
        </w:rPr>
        <w:t>招标采购的，</w:t>
      </w:r>
      <w:r w:rsidR="006071EE">
        <w:rPr>
          <w:rFonts w:ascii="仿宋_GB2312" w:eastAsia="仿宋_GB2312" w:hint="eastAsia"/>
          <w:color w:val="000000"/>
          <w:sz w:val="30"/>
          <w:szCs w:val="30"/>
        </w:rPr>
        <w:t>自动</w:t>
      </w:r>
      <w:r w:rsidR="006071EE">
        <w:rPr>
          <w:rFonts w:ascii="仿宋_GB2312" w:eastAsia="仿宋_GB2312"/>
          <w:color w:val="000000"/>
          <w:sz w:val="30"/>
          <w:szCs w:val="30"/>
        </w:rPr>
        <w:t>取消中标</w:t>
      </w:r>
      <w:r w:rsidR="006071EE">
        <w:rPr>
          <w:rFonts w:ascii="仿宋_GB2312" w:eastAsia="仿宋_GB2312" w:hint="eastAsia"/>
          <w:color w:val="000000"/>
          <w:sz w:val="30"/>
          <w:szCs w:val="30"/>
        </w:rPr>
        <w:t>资格</w:t>
      </w:r>
      <w:r w:rsidR="006071EE">
        <w:rPr>
          <w:rFonts w:ascii="仿宋_GB2312" w:eastAsia="仿宋_GB2312"/>
          <w:color w:val="000000"/>
          <w:sz w:val="30"/>
          <w:szCs w:val="30"/>
        </w:rPr>
        <w:t>。</w:t>
      </w:r>
    </w:p>
    <w:p w14:paraId="6B60F82B" w14:textId="77777777" w:rsidR="00280BF8" w:rsidRPr="00280BF8" w:rsidRDefault="00280BF8" w:rsidP="00280BF8">
      <w:pPr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 w:rsidRPr="00280BF8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三、售后服务响应表</w:t>
      </w: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4687"/>
        <w:gridCol w:w="1710"/>
        <w:gridCol w:w="1890"/>
      </w:tblGrid>
      <w:tr w:rsidR="00280BF8" w:rsidRPr="00280BF8" w14:paraId="3FF5AF94" w14:textId="77777777" w:rsidTr="00280BF8">
        <w:trPr>
          <w:trHeight w:val="510"/>
          <w:jc w:val="center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D7A9E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售后服务响应表</w:t>
            </w:r>
          </w:p>
        </w:tc>
      </w:tr>
      <w:tr w:rsidR="00280BF8" w:rsidRPr="00280BF8" w14:paraId="53D34290" w14:textId="77777777" w:rsidTr="00280BF8">
        <w:trPr>
          <w:trHeight w:val="1020"/>
          <w:jc w:val="center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D92BD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※注意：响应情况分为三种，“不响应”“响应”和“优于”，请报名企业根据实际情况填写。若填写的是“不响应”和“优于”，必须详细填写“说明”。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总分5分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，不响应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每条扣</w:t>
            </w:r>
            <w:r w:rsidRPr="00280BF8">
              <w:rPr>
                <w:rFonts w:ascii="仿宋_GB2312" w:eastAsia="仿宋_GB2312"/>
                <w:color w:val="000000"/>
                <w:sz w:val="24"/>
                <w:szCs w:val="24"/>
              </w:rPr>
              <w:t>0.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，扣完为止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。</w:t>
            </w:r>
          </w:p>
        </w:tc>
      </w:tr>
      <w:tr w:rsidR="00280BF8" w:rsidRPr="00280BF8" w14:paraId="273B7D72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D6959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F6FC6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服务条款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FBCBE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响应情况（不响应/响应/优于）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8BF9B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说明</w:t>
            </w:r>
          </w:p>
        </w:tc>
      </w:tr>
      <w:tr w:rsidR="00280BF8" w:rsidRPr="00280BF8" w14:paraId="20C89060" w14:textId="77777777" w:rsidTr="00280BF8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8339D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1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0E686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送货及库存：</w:t>
            </w:r>
          </w:p>
        </w:tc>
      </w:tr>
      <w:tr w:rsidR="00280BF8" w:rsidRPr="00280BF8" w14:paraId="4BAA2A57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789B7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B1F53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都匀市</w:t>
            </w: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内设有仓库，且保证货源充足。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D97EE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A6B11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80BF8" w:rsidRPr="00280BF8" w14:paraId="332FBF04" w14:textId="77777777" w:rsidTr="00280BF8">
        <w:trPr>
          <w:trHeight w:val="1037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72A2A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96FF1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保证按照医院指定地点和时间准时送货上门（</w:t>
            </w:r>
            <w:proofErr w:type="gramStart"/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分节假日），公司承担全部运费且到达前的损失由公司承担。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82C7E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FC39A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80BF8" w:rsidRPr="00280BF8" w14:paraId="57F49F4A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FCEA6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79A1C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紧急配送（如急诊手术等）保证产品1小时内送达。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FFBEA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00E61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758CDE2C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FC40E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1.4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135AF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特殊的产品或规格型号可紧急进行市外调货，以满足医院临床要求。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56A4B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B926B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5D0943D1" w14:textId="77777777" w:rsidTr="00280BF8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42CE1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2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A86FC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退换货：</w:t>
            </w:r>
          </w:p>
        </w:tc>
      </w:tr>
      <w:tr w:rsidR="00280BF8" w:rsidRPr="00280BF8" w14:paraId="2247EDFB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B93B3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2.1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E0DA5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医院接收货物后若有疑义或使用前发现不宜使用的现象，公司随时提供免费退换货服务。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E680D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AB755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639CD1F9" w14:textId="77777777" w:rsidTr="00280BF8">
        <w:trPr>
          <w:trHeight w:val="144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16F34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2.2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4007F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近效期退换：对于接近有效期的产品（近效期3个月或以上的），中选企业保证无条件更换新批号且有效期在半年以上的产品。保证供货产品的实际品牌、规格型号、生产厂家、质量与采购文件内所报产品描述一致；供货产品确保最新生产批号，绝不提供过期或即将过期的产品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3E379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A82E9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5830FB94" w14:textId="77777777" w:rsidTr="00280BF8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0398B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3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C352D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不良反应：</w:t>
            </w:r>
          </w:p>
        </w:tc>
      </w:tr>
      <w:tr w:rsidR="00280BF8" w:rsidRPr="00280BF8" w14:paraId="000E3C81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03CBF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75F60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一旦发生质量问题，公司保证接到通知后半小时内响应，两小时内赶到现场。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2C69B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A1541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5A74CD71" w14:textId="77777777" w:rsidTr="00280BF8">
        <w:trPr>
          <w:trHeight w:val="72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3C4D4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3.2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2DA0E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在临床使用中若出现不良医疗反应现象，经国家相关质量监察部门鉴定后，确实属于产品质量问题的，公司承担全部责任。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3EE74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FA7C9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0229F37E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58F8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3.3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3F1AC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若医院发生与产品相关的事故，不论是否与产品质量有关，公司必须积极参与医院事故的处理。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B0337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72381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3EA9146E" w14:textId="77777777" w:rsidTr="00280BF8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EE445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4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E717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质量保证：</w:t>
            </w:r>
          </w:p>
        </w:tc>
      </w:tr>
      <w:tr w:rsidR="00280BF8" w:rsidRPr="00280BF8" w14:paraId="0F75EB99" w14:textId="77777777" w:rsidTr="00280BF8">
        <w:trPr>
          <w:trHeight w:val="41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186D7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DFDD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F0192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C012E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711DBE7D" w14:textId="77777777" w:rsidTr="00280BF8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C14AA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18D8E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产品质量符合国家和国际承认的相应标准。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6B95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C1BA8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4593CE0D" w14:textId="77777777" w:rsidTr="00280BF8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1C609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70E3A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产品的包装及相关资料证件严格符合医院要求。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9A170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2FB69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637001FB" w14:textId="77777777" w:rsidTr="00280BF8">
        <w:trPr>
          <w:trHeight w:val="27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49992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4.4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4F82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保证产品的严格消毒灭菌。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ADD0E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F5015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280BF8" w:rsidRPr="00280BF8" w14:paraId="61B2E472" w14:textId="77777777" w:rsidTr="00280BF8">
        <w:trPr>
          <w:trHeight w:val="3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D78B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1D5C5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80BF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保证：</w:t>
            </w:r>
          </w:p>
        </w:tc>
      </w:tr>
      <w:tr w:rsidR="00280BF8" w:rsidRPr="00280BF8" w14:paraId="4BF82B49" w14:textId="77777777" w:rsidTr="00280BF8">
        <w:trPr>
          <w:trHeight w:val="48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2C940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280BF8">
              <w:rPr>
                <w:rFonts w:ascii="仿宋_GB2312" w:eastAsia="仿宋_GB2312" w:hint="eastAsia"/>
                <w:color w:val="000000"/>
                <w:sz w:val="30"/>
                <w:szCs w:val="30"/>
              </w:rPr>
              <w:t>5.1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F5BF0" w14:textId="77777777" w:rsidR="00280BF8" w:rsidRPr="00280BF8" w:rsidRDefault="00280BF8" w:rsidP="00280BF8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280BF8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保证不向临床人员及职能部门提供礼品、回扣等，保证合法经营，不参加不良竞争。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6EF2A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1E417" w14:textId="77777777" w:rsidR="00280BF8" w:rsidRPr="00280BF8" w:rsidRDefault="00280BF8" w:rsidP="00280BF8">
            <w:pPr>
              <w:ind w:firstLine="5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</w:tbl>
    <w:p w14:paraId="0AA15CB3" w14:textId="77777777" w:rsidR="002A22C5" w:rsidRPr="006071EE" w:rsidRDefault="002A22C5" w:rsidP="006071EE">
      <w:pPr>
        <w:ind w:firstLine="596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6B6DF5F3" w14:textId="77777777" w:rsidR="00E0106C" w:rsidRPr="00925021" w:rsidRDefault="00E0106C" w:rsidP="00B823C2">
      <w:pPr>
        <w:ind w:firstLine="600"/>
        <w:jc w:val="left"/>
        <w:rPr>
          <w:color w:val="000000"/>
          <w:sz w:val="30"/>
          <w:szCs w:val="30"/>
        </w:rPr>
      </w:pPr>
      <w:r w:rsidRPr="00925021">
        <w:rPr>
          <w:rFonts w:hint="eastAsia"/>
          <w:color w:val="000000"/>
          <w:sz w:val="30"/>
          <w:szCs w:val="30"/>
        </w:rPr>
        <w:t xml:space="preserve">                         </w:t>
      </w:r>
    </w:p>
    <w:sectPr w:rsidR="00E0106C" w:rsidRPr="00925021" w:rsidSect="00AF251E">
      <w:footerReference w:type="default" r:id="rId7"/>
      <w:pgSz w:w="11906" w:h="16838"/>
      <w:pgMar w:top="1440" w:right="1800" w:bottom="993" w:left="1800" w:header="851" w:footer="66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E882" w14:textId="77777777" w:rsidR="005A2B06" w:rsidRDefault="005A2B06" w:rsidP="00224D82">
      <w:r>
        <w:separator/>
      </w:r>
    </w:p>
  </w:endnote>
  <w:endnote w:type="continuationSeparator" w:id="0">
    <w:p w14:paraId="37A38A37" w14:textId="77777777" w:rsidR="005A2B06" w:rsidRDefault="005A2B06" w:rsidP="0022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B752" w14:textId="77777777" w:rsidR="009A35E6" w:rsidRDefault="009A35E6" w:rsidP="00107744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65F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65F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47BA84B" w14:textId="77777777" w:rsidR="009A35E6" w:rsidRDefault="009A3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12A9" w14:textId="77777777" w:rsidR="005A2B06" w:rsidRDefault="005A2B06" w:rsidP="00224D82">
      <w:r>
        <w:separator/>
      </w:r>
    </w:p>
  </w:footnote>
  <w:footnote w:type="continuationSeparator" w:id="0">
    <w:p w14:paraId="174AFAB2" w14:textId="77777777" w:rsidR="005A2B06" w:rsidRDefault="005A2B06" w:rsidP="0022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C5AC3"/>
    <w:multiLevelType w:val="hybridMultilevel"/>
    <w:tmpl w:val="0A1665FA"/>
    <w:lvl w:ilvl="0" w:tplc="FF7CF60E">
      <w:start w:val="1"/>
      <w:numFmt w:val="japaneseCounting"/>
      <w:lvlText w:val="%1、"/>
      <w:lvlJc w:val="left"/>
      <w:pPr>
        <w:ind w:left="1736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num w:numId="1" w16cid:durableId="18071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82"/>
    <w:rsid w:val="00023802"/>
    <w:rsid w:val="000253C1"/>
    <w:rsid w:val="00035910"/>
    <w:rsid w:val="00036ACF"/>
    <w:rsid w:val="00043F88"/>
    <w:rsid w:val="000866D3"/>
    <w:rsid w:val="0009237A"/>
    <w:rsid w:val="000928C3"/>
    <w:rsid w:val="0009356C"/>
    <w:rsid w:val="000A008F"/>
    <w:rsid w:val="000C0EF7"/>
    <w:rsid w:val="000C5131"/>
    <w:rsid w:val="000E211D"/>
    <w:rsid w:val="000F5AF2"/>
    <w:rsid w:val="00107744"/>
    <w:rsid w:val="0011599B"/>
    <w:rsid w:val="00127C49"/>
    <w:rsid w:val="00131552"/>
    <w:rsid w:val="001337FC"/>
    <w:rsid w:val="00133C3B"/>
    <w:rsid w:val="00145A24"/>
    <w:rsid w:val="00160A88"/>
    <w:rsid w:val="001C40F3"/>
    <w:rsid w:val="001C7B5B"/>
    <w:rsid w:val="001F4B81"/>
    <w:rsid w:val="001F6926"/>
    <w:rsid w:val="00202C83"/>
    <w:rsid w:val="002078A5"/>
    <w:rsid w:val="00214A72"/>
    <w:rsid w:val="00224D82"/>
    <w:rsid w:val="002374B1"/>
    <w:rsid w:val="002416DD"/>
    <w:rsid w:val="00247077"/>
    <w:rsid w:val="0025023F"/>
    <w:rsid w:val="00255064"/>
    <w:rsid w:val="0025542E"/>
    <w:rsid w:val="0026361C"/>
    <w:rsid w:val="00265FBF"/>
    <w:rsid w:val="00270B07"/>
    <w:rsid w:val="00272A84"/>
    <w:rsid w:val="00280BF8"/>
    <w:rsid w:val="0028400B"/>
    <w:rsid w:val="0029380F"/>
    <w:rsid w:val="002A22C5"/>
    <w:rsid w:val="002A66E8"/>
    <w:rsid w:val="002E69BE"/>
    <w:rsid w:val="0032385C"/>
    <w:rsid w:val="00361CED"/>
    <w:rsid w:val="00372D7C"/>
    <w:rsid w:val="0037748E"/>
    <w:rsid w:val="00384ECA"/>
    <w:rsid w:val="00396ABE"/>
    <w:rsid w:val="003B44A7"/>
    <w:rsid w:val="003B7996"/>
    <w:rsid w:val="003E1470"/>
    <w:rsid w:val="003E36A3"/>
    <w:rsid w:val="003E703F"/>
    <w:rsid w:val="003F0D13"/>
    <w:rsid w:val="003F3C86"/>
    <w:rsid w:val="00402562"/>
    <w:rsid w:val="00402610"/>
    <w:rsid w:val="0041299A"/>
    <w:rsid w:val="00421130"/>
    <w:rsid w:val="00433FBF"/>
    <w:rsid w:val="004458A7"/>
    <w:rsid w:val="004474BF"/>
    <w:rsid w:val="00491463"/>
    <w:rsid w:val="004B1BE1"/>
    <w:rsid w:val="004B492C"/>
    <w:rsid w:val="004E66AE"/>
    <w:rsid w:val="004F7EDD"/>
    <w:rsid w:val="00505D8B"/>
    <w:rsid w:val="00510878"/>
    <w:rsid w:val="0052058D"/>
    <w:rsid w:val="005264BD"/>
    <w:rsid w:val="00543B4A"/>
    <w:rsid w:val="005466B3"/>
    <w:rsid w:val="005559A0"/>
    <w:rsid w:val="0055757F"/>
    <w:rsid w:val="005646FF"/>
    <w:rsid w:val="005650F8"/>
    <w:rsid w:val="00592A67"/>
    <w:rsid w:val="005A2B06"/>
    <w:rsid w:val="005A32C4"/>
    <w:rsid w:val="005C0F86"/>
    <w:rsid w:val="005C1984"/>
    <w:rsid w:val="005D0515"/>
    <w:rsid w:val="005F4EF5"/>
    <w:rsid w:val="00603E89"/>
    <w:rsid w:val="006042F9"/>
    <w:rsid w:val="0060719A"/>
    <w:rsid w:val="006071EE"/>
    <w:rsid w:val="006113EC"/>
    <w:rsid w:val="006161DB"/>
    <w:rsid w:val="00623616"/>
    <w:rsid w:val="00656AAF"/>
    <w:rsid w:val="00657416"/>
    <w:rsid w:val="006647E1"/>
    <w:rsid w:val="0067786B"/>
    <w:rsid w:val="006879BB"/>
    <w:rsid w:val="006D0E37"/>
    <w:rsid w:val="006E0212"/>
    <w:rsid w:val="006F1B3E"/>
    <w:rsid w:val="007039A5"/>
    <w:rsid w:val="00710833"/>
    <w:rsid w:val="00721BF9"/>
    <w:rsid w:val="00724A05"/>
    <w:rsid w:val="007436EB"/>
    <w:rsid w:val="00746161"/>
    <w:rsid w:val="00746DA8"/>
    <w:rsid w:val="00763CB1"/>
    <w:rsid w:val="0079289A"/>
    <w:rsid w:val="007A2BCE"/>
    <w:rsid w:val="007C4DEC"/>
    <w:rsid w:val="007E1771"/>
    <w:rsid w:val="007F4225"/>
    <w:rsid w:val="007F7DC8"/>
    <w:rsid w:val="008111CD"/>
    <w:rsid w:val="008156C4"/>
    <w:rsid w:val="008158E6"/>
    <w:rsid w:val="008630A1"/>
    <w:rsid w:val="00875D84"/>
    <w:rsid w:val="00876F93"/>
    <w:rsid w:val="00891775"/>
    <w:rsid w:val="008979AF"/>
    <w:rsid w:val="008A4DFC"/>
    <w:rsid w:val="008B17C5"/>
    <w:rsid w:val="008C49CD"/>
    <w:rsid w:val="008E6116"/>
    <w:rsid w:val="008F4650"/>
    <w:rsid w:val="0090036E"/>
    <w:rsid w:val="00925021"/>
    <w:rsid w:val="00930D3C"/>
    <w:rsid w:val="009323BC"/>
    <w:rsid w:val="00933C4B"/>
    <w:rsid w:val="009657BF"/>
    <w:rsid w:val="00973A82"/>
    <w:rsid w:val="00982F43"/>
    <w:rsid w:val="009843B5"/>
    <w:rsid w:val="00984B01"/>
    <w:rsid w:val="009A35E6"/>
    <w:rsid w:val="009A36E7"/>
    <w:rsid w:val="009B4D5B"/>
    <w:rsid w:val="009C4A67"/>
    <w:rsid w:val="009C564C"/>
    <w:rsid w:val="009D0806"/>
    <w:rsid w:val="009D4F55"/>
    <w:rsid w:val="009F0C36"/>
    <w:rsid w:val="00A13DAF"/>
    <w:rsid w:val="00A61929"/>
    <w:rsid w:val="00A714D7"/>
    <w:rsid w:val="00A76C3E"/>
    <w:rsid w:val="00A83012"/>
    <w:rsid w:val="00A837EA"/>
    <w:rsid w:val="00A83A49"/>
    <w:rsid w:val="00AA211A"/>
    <w:rsid w:val="00AB5467"/>
    <w:rsid w:val="00AC427B"/>
    <w:rsid w:val="00AD098D"/>
    <w:rsid w:val="00AD49FA"/>
    <w:rsid w:val="00AF251E"/>
    <w:rsid w:val="00B147D2"/>
    <w:rsid w:val="00B16E2C"/>
    <w:rsid w:val="00B1790A"/>
    <w:rsid w:val="00B55FE5"/>
    <w:rsid w:val="00B71CAB"/>
    <w:rsid w:val="00B721BC"/>
    <w:rsid w:val="00B823C2"/>
    <w:rsid w:val="00B945ED"/>
    <w:rsid w:val="00B96881"/>
    <w:rsid w:val="00BA76DF"/>
    <w:rsid w:val="00BB09F1"/>
    <w:rsid w:val="00BB61D0"/>
    <w:rsid w:val="00BC71B0"/>
    <w:rsid w:val="00BD4998"/>
    <w:rsid w:val="00BE1DD9"/>
    <w:rsid w:val="00BE4FDE"/>
    <w:rsid w:val="00C06A22"/>
    <w:rsid w:val="00C23208"/>
    <w:rsid w:val="00C42F93"/>
    <w:rsid w:val="00C50254"/>
    <w:rsid w:val="00C5754F"/>
    <w:rsid w:val="00C873AD"/>
    <w:rsid w:val="00CA32E8"/>
    <w:rsid w:val="00CA5DC7"/>
    <w:rsid w:val="00CB3A92"/>
    <w:rsid w:val="00CC4258"/>
    <w:rsid w:val="00CE17A2"/>
    <w:rsid w:val="00CE7F58"/>
    <w:rsid w:val="00D00BBD"/>
    <w:rsid w:val="00D06E73"/>
    <w:rsid w:val="00D13AE7"/>
    <w:rsid w:val="00D219B8"/>
    <w:rsid w:val="00D21AD1"/>
    <w:rsid w:val="00D275E6"/>
    <w:rsid w:val="00D27E86"/>
    <w:rsid w:val="00D7274E"/>
    <w:rsid w:val="00D81B59"/>
    <w:rsid w:val="00D84225"/>
    <w:rsid w:val="00D86C37"/>
    <w:rsid w:val="00DA3C4D"/>
    <w:rsid w:val="00DE29D8"/>
    <w:rsid w:val="00DF691D"/>
    <w:rsid w:val="00DF6EBE"/>
    <w:rsid w:val="00E01067"/>
    <w:rsid w:val="00E0106C"/>
    <w:rsid w:val="00E47119"/>
    <w:rsid w:val="00E608BA"/>
    <w:rsid w:val="00E63C74"/>
    <w:rsid w:val="00E658B8"/>
    <w:rsid w:val="00E67458"/>
    <w:rsid w:val="00E77175"/>
    <w:rsid w:val="00E844DE"/>
    <w:rsid w:val="00EA1080"/>
    <w:rsid w:val="00EA24BF"/>
    <w:rsid w:val="00EA4351"/>
    <w:rsid w:val="00EA7F65"/>
    <w:rsid w:val="00EC76EF"/>
    <w:rsid w:val="00ED2117"/>
    <w:rsid w:val="00EF2FC1"/>
    <w:rsid w:val="00F31856"/>
    <w:rsid w:val="00F32889"/>
    <w:rsid w:val="00F430A1"/>
    <w:rsid w:val="00F46A5B"/>
    <w:rsid w:val="00F46B77"/>
    <w:rsid w:val="00F47601"/>
    <w:rsid w:val="00F51CAD"/>
    <w:rsid w:val="00F60E40"/>
    <w:rsid w:val="00F60F87"/>
    <w:rsid w:val="00F61FFB"/>
    <w:rsid w:val="00F81EF9"/>
    <w:rsid w:val="00F879ED"/>
    <w:rsid w:val="00F970FE"/>
    <w:rsid w:val="00F9772E"/>
    <w:rsid w:val="00FA276D"/>
    <w:rsid w:val="00FC235E"/>
    <w:rsid w:val="00FD060B"/>
    <w:rsid w:val="00FD4DED"/>
    <w:rsid w:val="00FF68CA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DD7A"/>
  <w15:chartTrackingRefBased/>
  <w15:docId w15:val="{691378F6-3C2A-446D-B4CB-E3853BF0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8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224D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D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224D82"/>
    <w:rPr>
      <w:sz w:val="18"/>
      <w:szCs w:val="18"/>
    </w:rPr>
  </w:style>
  <w:style w:type="paragraph" w:customStyle="1" w:styleId="a7">
    <w:name w:val="列出段落"/>
    <w:basedOn w:val="a"/>
    <w:uiPriority w:val="34"/>
    <w:qFormat/>
    <w:rsid w:val="00384ECA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E608B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608BA"/>
    <w:pPr>
      <w:jc w:val="left"/>
    </w:pPr>
    <w:rPr>
      <w:lang w:val="x-none" w:eastAsia="x-none"/>
    </w:rPr>
  </w:style>
  <w:style w:type="character" w:customStyle="1" w:styleId="aa">
    <w:name w:val="批注文字 字符"/>
    <w:link w:val="a9"/>
    <w:uiPriority w:val="99"/>
    <w:semiHidden/>
    <w:rsid w:val="00E608B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08BA"/>
    <w:rPr>
      <w:b/>
      <w:bCs/>
    </w:rPr>
  </w:style>
  <w:style w:type="character" w:customStyle="1" w:styleId="ac">
    <w:name w:val="批注主题 字符"/>
    <w:link w:val="ab"/>
    <w:uiPriority w:val="99"/>
    <w:semiHidden/>
    <w:rsid w:val="00E608B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608BA"/>
    <w:rPr>
      <w:sz w:val="18"/>
      <w:szCs w:val="18"/>
      <w:lang w:val="x-none" w:eastAsia="x-none"/>
    </w:rPr>
  </w:style>
  <w:style w:type="character" w:customStyle="1" w:styleId="ae">
    <w:name w:val="批注框文本 字符"/>
    <w:link w:val="ad"/>
    <w:uiPriority w:val="99"/>
    <w:semiHidden/>
    <w:rsid w:val="00E608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德仁 吴</cp:lastModifiedBy>
  <cp:revision>2</cp:revision>
  <cp:lastPrinted>2025-04-23T02:14:00Z</cp:lastPrinted>
  <dcterms:created xsi:type="dcterms:W3CDTF">2025-07-14T00:11:00Z</dcterms:created>
  <dcterms:modified xsi:type="dcterms:W3CDTF">2025-07-14T00:11:00Z</dcterms:modified>
</cp:coreProperties>
</file>